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xmlns:wp14="http://schemas.microsoft.com/office/word/2010/wordml" w14:paraId="44CC4624" wp14:textId="77777777">
      <w:pPr>
        <w:jc w:val="left"/>
        <w:widowControl/>
      </w:pPr>
      <w:r>
        <w:rPr>
          <w:b/>
          <w:color w:val="C3002F"/>
          <w:sz w:val="30"/>
        </w:rPr>
        <w:t>Associated British Foods</w:t>
      </w:r>
      <w:r>
        <w:rPr>
          <w:color w:val="828C91"/>
          <w:sz w:val="30"/>
        </w:rPr>
        <w:t xml:space="preserve">  |  Group Services</w:t>
      </w:r>
    </w:p>
    <w:p xmlns:wp14="http://schemas.microsoft.com/office/word/2010/wordml" w14:paraId="2277FDB3" wp14:textId="77777777">
      <w:pPr>
        <w:pStyle w:val="Title"/>
        <w:widowControl/>
      </w:pPr>
      <w:r>
        <w:t>TECHNOLOGY BUSINESS PARTNER</w:t>
      </w:r>
    </w:p>
    <w:tbl>
      <w:tblPr>
        <w:tblW w:w="0" w:type="auto"/>
        <w:jc w:val="center"/>
        <w:tblLayout w:type="fixed"/>
        <w:tblLook w:val="04A0" w:firstRow="1" w:lastRow="0" w:firstColumn="1" w:lastColumn="0" w:noHBand="0" w:noVBand="1"/>
      </w:tblPr>
      <w:tblGrid>
        <w:gridCol w:w="2160"/>
        <w:gridCol w:w="8208"/>
      </w:tblGrid>
      <w:tr xmlns:wp14="http://schemas.microsoft.com/office/word/2010/wordml" w14:paraId="051D3093" wp14:textId="77777777">
        <w:tc>
          <w:tcPr>
            <w:tcW w:w="2160" w:type="dxa"/>
            <w:vAlign w:val="center"/>
            <w:tcMar>
              <w:top w:w="90" w:type="dxa"/>
              <w:start w:w="110" w:type="dxa"/>
              <w:bottom w:w="90" w:type="dxa"/>
              <w:end w:w="110" w:type="dxa"/>
            </w:tcMar>
            <w:shd w:fill="17365D"/>
          </w:tcPr>
          <w:p w14:paraId="5B9E564E" wp14:textId="77777777">
            <w:r>
              <w:rPr>
                <w:b/>
                <w:color w:val="FFFFFF"/>
                <w:sz w:val="18"/>
              </w:rPr>
              <w:t>Role title</w:t>
            </w:r>
          </w:p>
        </w:tc>
        <w:tc>
          <w:tcPr>
            <w:tcW w:w="8208" w:type="dxa"/>
            <w:vAlign w:val="center"/>
            <w:tcMar>
              <w:top w:w="90" w:type="dxa"/>
              <w:start w:w="110" w:type="dxa"/>
              <w:bottom w:w="90" w:type="dxa"/>
              <w:end w:w="110" w:type="dxa"/>
            </w:tcMar>
          </w:tcPr>
          <w:p>
            <w:r>
              <w:t>Technology Business Partner</w:t>
            </w:r>
          </w:p>
        </w:tc>
      </w:tr>
      <w:tr xmlns:wp14="http://schemas.microsoft.com/office/word/2010/wordml" w14:paraId="2FFECF58" wp14:textId="77777777">
        <w:tc>
          <w:tcPr>
            <w:tcW w:w="2160" w:type="dxa"/>
            <w:vAlign w:val="center"/>
            <w:tcMar>
              <w:top w:w="90" w:type="dxa"/>
              <w:start w:w="110" w:type="dxa"/>
              <w:bottom w:w="90" w:type="dxa"/>
              <w:end w:w="110" w:type="dxa"/>
            </w:tcMar>
            <w:shd w:fill="17365D"/>
          </w:tcPr>
          <w:p w14:paraId="01CAF61D" wp14:textId="77777777">
            <w:r>
              <w:rPr>
                <w:b/>
                <w:color w:val="FFFFFF"/>
                <w:sz w:val="18"/>
              </w:rPr>
              <w:t>Reports to</w:t>
            </w:r>
          </w:p>
        </w:tc>
        <w:tc>
          <w:tcPr>
            <w:tcW w:w="8208" w:type="dxa"/>
            <w:vAlign w:val="center"/>
            <w:tcMar>
              <w:top w:w="90" w:type="dxa"/>
              <w:start w:w="110" w:type="dxa"/>
              <w:bottom w:w="90" w:type="dxa"/>
              <w:end w:w="110" w:type="dxa"/>
            </w:tcMar>
          </w:tcPr>
          <w:p>
            <w:r>
              <w:t>Head of Business Engagement and Performance</w:t>
            </w:r>
          </w:p>
        </w:tc>
      </w:tr>
      <w:tr xmlns:wp14="http://schemas.microsoft.com/office/word/2010/wordml" w14:paraId="7553B42A" wp14:textId="77777777">
        <w:tc>
          <w:tcPr>
            <w:tcW w:w="2160" w:type="dxa"/>
            <w:vAlign w:val="center"/>
            <w:tcMar>
              <w:top w:w="90" w:type="dxa"/>
              <w:start w:w="110" w:type="dxa"/>
              <w:bottom w:w="90" w:type="dxa"/>
              <w:end w:w="110" w:type="dxa"/>
            </w:tcMar>
            <w:shd w:fill="17365D"/>
          </w:tcPr>
          <w:p w14:paraId="66ED67BC" wp14:textId="77777777">
            <w:r>
              <w:rPr>
                <w:b/>
                <w:color w:val="FFFFFF"/>
                <w:sz w:val="18"/>
              </w:rPr>
              <w:t>Function</w:t>
            </w:r>
          </w:p>
        </w:tc>
        <w:tc>
          <w:tcPr>
            <w:tcW w:w="8208" w:type="dxa"/>
            <w:vAlign w:val="center"/>
            <w:tcMar>
              <w:top w:w="90" w:type="dxa"/>
              <w:start w:w="110" w:type="dxa"/>
              <w:bottom w:w="90" w:type="dxa"/>
              <w:end w:w="110" w:type="dxa"/>
            </w:tcMar>
          </w:tcPr>
          <w:p>
            <w:r>
              <w:t>Group Services</w:t>
            </w:r>
          </w:p>
        </w:tc>
      </w:tr>
      <w:tr xmlns:wp14="http://schemas.microsoft.com/office/word/2010/wordml" w14:paraId="79311BC6" wp14:textId="77777777">
        <w:tc>
          <w:tcPr>
            <w:tcW w:w="2160" w:type="dxa"/>
            <w:vAlign w:val="center"/>
            <w:tcMar>
              <w:top w:w="90" w:type="dxa"/>
              <w:start w:w="110" w:type="dxa"/>
              <w:bottom w:w="90" w:type="dxa"/>
              <w:end w:w="110" w:type="dxa"/>
            </w:tcMar>
            <w:shd w:fill="17365D"/>
          </w:tcPr>
          <w:p w14:paraId="601CA95D" wp14:textId="77777777">
            <w:r>
              <w:rPr>
                <w:b/>
                <w:color w:val="FFFFFF"/>
                <w:sz w:val="18"/>
              </w:rPr>
              <w:t>Primary focus</w:t>
            </w:r>
          </w:p>
        </w:tc>
        <w:tc>
          <w:tcPr>
            <w:tcW w:w="8208" w:type="dxa"/>
            <w:vAlign w:val="center"/>
            <w:tcMar>
              <w:top w:w="90" w:type="dxa"/>
              <w:start w:w="110" w:type="dxa"/>
              <w:bottom w:w="90" w:type="dxa"/>
              <w:end w:w="110" w:type="dxa"/>
            </w:tcMar>
          </w:tcPr>
          <w:p>
            <w:r>
              <w:t>Strategic relationship, business demand shaping, value, roadmap alignment and change</w:t>
            </w:r>
          </w:p>
        </w:tc>
      </w:tr>
    </w:tbl>
    <w:p>
      <w:pPr>
        <w:pStyle w:val="Heading1"/>
      </w:pPr>
      <w:r>
        <w:t>Role purpose</w:t>
      </w:r>
    </w:p>
    <w:p>
      <w:pPr/>
      <w:r>
        <w:t>Build a trusted strategic partnership between Group Services and assigned business units, translating business priorities into a coherent technology, service and change agenda that delivers measurable value. The role connects business strategy with Group Services capabilities, helps shape business demand, champions relevant Group Services service lines and identifies further opportunities where these could add value. It also maintains visibility of business three-year technology roadmaps, aligns these with Group Services leadership and Product Managers, constructively challenges priorities and assumptions, and ensures that investment and change remain aligned to agreed outcomes.</w:t>
      </w:r>
    </w:p>
    <w:p>
      <w:pPr>
        <w:pStyle w:val="Heading1"/>
      </w:pPr>
      <w:r>
        <w:t>Key accountabilities</w:t>
      </w:r>
    </w:p>
    <w:p>
      <w:pPr>
        <w:pStyle w:val="Heading2"/>
      </w:pPr>
      <w:r>
        <w:t>Strategic relationship leadership</w:t>
      </w:r>
    </w:p>
    <w:p>
      <w:pPr>
        <w:pStyle w:val="ListBullet"/>
      </w:pPr>
      <w:r>
        <w:t>Own the overall relationship with BU CIOs and relevant senior technology stakeholders.</w:t>
      </w:r>
    </w:p>
    <w:p>
      <w:pPr>
        <w:pStyle w:val="ListBullet"/>
      </w:pPr>
      <w:r>
        <w:t>Develop a clear understanding of each BU’s strategy, priorities, risks, investment plans and change environment.</w:t>
      </w:r>
    </w:p>
    <w:p>
      <w:pPr>
        <w:pStyle w:val="ListBullet"/>
      </w:pPr>
      <w:r>
        <w:t>Represent Group Services in relevant BU technology leadership forums and ensure BU priorities and perspectives are effectively represented within Group Services governance and decision-making.</w:t>
      </w:r>
    </w:p>
    <w:p>
      <w:pPr>
        <w:pStyle w:val="ListBullet"/>
      </w:pPr>
      <w:r>
        <w:t>Communicate Group Services strategy, capabilities and constraints clearly, while championing the service lines and opportunities most relevant to each BU.</w:t>
      </w:r>
    </w:p>
    <w:p>
      <w:pPr>
        <w:pStyle w:val="ListBullet"/>
      </w:pPr>
      <w:r>
        <w:t>Maintain a stakeholder and relationship plan, proactively addressing emerging risks before they affect trust or outcomes.</w:t>
      </w:r>
    </w:p>
    <w:p>
      <w:pPr>
        <w:pStyle w:val="ListBullet"/>
      </w:pPr>
      <w:r>
        <w:t>Provide Group Services leadership with structured insight into business sentiment, recurring concerns and opportunities to improve services, communications or ways of working</w:t>
      </w:r>
    </w:p>
    <w:p>
      <w:pPr>
        <w:pStyle w:val="Heading2"/>
      </w:pPr>
      <w:r>
        <w:t>Demand and portfolio shaping</w:t>
      </w:r>
    </w:p>
    <w:p>
      <w:pPr>
        <w:pStyle w:val="ListBullet"/>
      </w:pPr>
      <w:r>
        <w:t>Proactively identify, shape, capture and qualify strategic business demand, ensuring it is framed around clear outcomes and value.</w:t>
      </w:r>
    </w:p>
    <w:p>
      <w:pPr>
        <w:pStyle w:val="ListBullet"/>
      </w:pPr>
      <w:r>
        <w:t>Ensure demand has a clear business outcome, sponsor, priority, value case and readiness assessment before progressing.</w:t>
      </w:r>
    </w:p>
    <w:p>
      <w:pPr>
        <w:pStyle w:val="ListBullet"/>
      </w:pPr>
      <w:r>
        <w:t>Connect demand to the relevant Product Manager, architect, project or change function.</w:t>
      </w:r>
    </w:p>
    <w:p>
      <w:pPr>
        <w:pStyle w:val="ListBullet"/>
      </w:pPr>
      <w:r>
        <w:t>Maintain an integrated view of initiatives, dependencies and capacity implications affecting assigned BUs.</w:t>
      </w:r>
    </w:p>
    <w:p>
      <w:pPr>
        <w:pStyle w:val="ListBullet"/>
      </w:pPr>
      <w:r>
        <w:t>Maintain visibility of each BU’s three-year technology roadmap, ensuring material themes, dependencies and opportunities are understood by Group Services leadership and relevant Product Managers.</w:t>
      </w:r>
    </w:p>
    <w:p>
      <w:pPr>
        <w:pStyle w:val="ListBullet"/>
      </w:pPr>
      <w:r>
        <w:t>Work with Product Managers to ensure Group Services product and service roadmaps reflect relevant business priorities, while preserving product-owner accountability for roadmap decisions.</w:t>
      </w:r>
    </w:p>
    <w:p>
      <w:pPr>
        <w:pStyle w:val="ListBullet"/>
      </w:pPr>
      <w:r>
        <w:t>Facilitate prioritisation and trade-off decisions where demand exceeds available capacity or funding.</w:t>
      </w:r>
    </w:p>
    <w:p>
      <w:pPr>
        <w:pStyle w:val="Heading2"/>
      </w:pPr>
      <w:r>
        <w:t>Value and commercial leadership</w:t>
      </w:r>
    </w:p>
    <w:p>
      <w:pPr>
        <w:pStyle w:val="ListBullet"/>
      </w:pPr>
      <w:r>
        <w:t>Improve transparency of Group Services costs, consumption, value and investment choices.</w:t>
      </w:r>
    </w:p>
    <w:p>
      <w:pPr>
        <w:pStyle w:val="ListBullet"/>
      </w:pPr>
      <w:r>
        <w:t>Support BUs in understanding the financial and operational implications of demand and service decisions.</w:t>
      </w:r>
    </w:p>
    <w:p>
      <w:pPr>
        <w:pStyle w:val="ListBullet"/>
      </w:pPr>
      <w:r>
        <w:t>Identify opportunities to improve value, reduce avoidable demand, increase adoption of existing Group Services capabilities and introduce service lines that could address emerging business needs.</w:t>
      </w:r>
    </w:p>
    <w:p>
      <w:pPr>
        <w:pStyle w:val="ListBullet"/>
      </w:pPr>
      <w:r>
        <w:t>Ensure material commercial decisions and trade-offs are understood and recorded.</w:t>
      </w:r>
    </w:p>
    <w:p>
      <w:pPr>
        <w:pStyle w:val="Heading2"/>
      </w:pPr>
      <w:r>
        <w:t>Business change and adoption assurance</w:t>
      </w:r>
    </w:p>
    <w:p>
      <w:pPr>
        <w:pStyle w:val="ListBullet"/>
      </w:pPr>
      <w:r>
        <w:t>Ensure significant Group Services change has appropriate BU sponsorship, ownership and engagement.</w:t>
      </w:r>
    </w:p>
    <w:p>
      <w:pPr>
        <w:pStyle w:val="ListBullet"/>
      </w:pPr>
      <w:r>
        <w:t>Identify cross-BU change impacts, dependencies and adoption risks.</w:t>
      </w:r>
    </w:p>
    <w:p>
      <w:pPr>
        <w:pStyle w:val="ListBullet"/>
      </w:pPr>
      <w:r>
        <w:t>Work with Business Change Managers and programme teams to ensure outcomes, readiness and adoption measures are defined.</w:t>
      </w:r>
    </w:p>
    <w:p>
      <w:pPr>
        <w:pStyle w:val="ListBullet"/>
      </w:pPr>
      <w:r>
        <w:t>Review whether intended value and adoption outcomes have been achieved following implementation.</w:t>
      </w:r>
    </w:p>
    <w:p>
      <w:pPr>
        <w:pStyle w:val="Heading2"/>
      </w:pPr>
      <w:r>
        <w:t>Strategic assurance and governance</w:t>
      </w:r>
    </w:p>
    <w:p>
      <w:pPr>
        <w:pStyle w:val="ListBullet"/>
      </w:pPr>
      <w:r>
        <w:t>Lead Quarterly Business Reviews covering priorities, value, demand, transformation, relationship health and material service themes.</w:t>
      </w:r>
    </w:p>
    <w:p>
      <w:pPr>
        <w:pStyle w:val="ListBullet"/>
      </w:pPr>
      <w:r>
        <w:t>Maintain visibility of material service risks and ensure their strategic, commercial or relationship implications are addressed.</w:t>
      </w:r>
    </w:p>
    <w:p>
      <w:pPr>
        <w:pStyle w:val="ListBullet"/>
      </w:pPr>
      <w:r>
        <w:t>Provide strategic assurance that programmes and projects remain aligned to agreed business outcomes.</w:t>
      </w:r>
    </w:p>
    <w:p>
      <w:pPr>
        <w:pStyle w:val="ListBullet"/>
      </w:pPr>
      <w:r>
        <w:t>Escalate systemic issues that cannot be resolved through operational governance.</w:t>
      </w:r>
    </w:p>
    <w:p>
      <w:pPr>
        <w:pStyle w:val="ListBullet"/>
      </w:pPr>
      <w:r>
        <w:t>Provide structured feedback to Group Services leadership on areas of concern, opportunities to improve proposition or engagement, and business feedback that should inform service-line or roadmap decisions.</w:t>
      </w:r>
    </w:p>
    <w:p>
      <w:pPr>
        <w:pStyle w:val="Heading1"/>
      </w:pPr>
      <w:r>
        <w:t>Key working relationships</w:t>
      </w:r>
    </w:p>
    <w:p>
      <w:pPr>
        <w:pStyle w:val="ListBullet"/>
      </w:pPr>
      <w:r>
        <w:t>BU CIOs, IT leaders and senior business stakeholders</w:t>
      </w:r>
    </w:p>
    <w:p>
      <w:pPr>
        <w:pStyle w:val="ListBullet"/>
      </w:pPr>
      <w:r>
        <w:t>Product Managers and service owners</w:t>
      </w:r>
    </w:p>
    <w:p>
      <w:pPr>
        <w:pStyle w:val="ListBullet"/>
      </w:pPr>
      <w:r>
        <w:t>Service Delivery Managers</w:t>
      </w:r>
    </w:p>
    <w:p>
      <w:pPr>
        <w:pStyle w:val="ListBullet"/>
      </w:pPr>
      <w:r>
        <w:t>Solution and enterprise architects</w:t>
      </w:r>
    </w:p>
    <w:p>
      <w:pPr>
        <w:pStyle w:val="ListBullet"/>
      </w:pPr>
      <w:r>
        <w:t>Programme, project and Business Change Managers</w:t>
      </w:r>
    </w:p>
    <w:p>
      <w:pPr>
        <w:pStyle w:val="ListBullet"/>
      </w:pPr>
      <w:r>
        <w:t>Finance, commercial and supplier management teams</w:t>
      </w:r>
    </w:p>
    <w:p>
      <w:pPr>
        <w:pStyle w:val="Heading1"/>
      </w:pPr>
      <w:r>
        <w:t>Skills, knowledge and experience</w:t>
      </w:r>
    </w:p>
    <w:p>
      <w:pPr>
        <w:pStyle w:val="Heading2"/>
      </w:pPr>
      <w:r>
        <w:t>Essential</w:t>
      </w:r>
    </w:p>
    <w:p>
      <w:pPr>
        <w:pStyle w:val="ListBullet"/>
      </w:pPr>
      <w:r>
        <w:t>Substantial experience in strategic business partnering, relationship management or technology leadership.</w:t>
      </w:r>
    </w:p>
    <w:p>
      <w:pPr>
        <w:pStyle w:val="ListBullet"/>
      </w:pPr>
      <w:r>
        <w:t>Strong understanding of business processes and relevant technology trends, with the ability to identify where technology, services and change can improve business outcomes.</w:t>
      </w:r>
    </w:p>
    <w:p>
      <w:pPr>
        <w:pStyle w:val="ListBullet"/>
      </w:pPr>
      <w:r>
        <w:t>Strong commercial judgement, with the ability to connect technology investment, service consumption and business demand to measurable value.</w:t>
      </w:r>
    </w:p>
    <w:p>
      <w:pPr>
        <w:pStyle w:val="ListBullet"/>
      </w:pPr>
      <w:r>
        <w:t>Demonstrable ability to influence senior stakeholders, navigate competing priorities and provide constructive challenge.</w:t>
      </w:r>
    </w:p>
    <w:p>
      <w:pPr>
        <w:pStyle w:val="ListBullet"/>
      </w:pPr>
      <w:r>
        <w:t>Experience shaping strategic demand, portfolios and major technology-enabled change.</w:t>
      </w:r>
    </w:p>
    <w:p>
      <w:pPr>
        <w:pStyle w:val="ListBullet"/>
      </w:pPr>
      <w:r>
        <w:t>Clear written, verbal and presentation skills, with the ability to communicate complex topics credibly and in accessible language.</w:t>
      </w:r>
    </w:p>
    <w:p>
      <w:pPr>
        <w:pStyle w:val="ListBullet"/>
      </w:pPr>
      <w:r>
        <w:t>Strong judgement, resilience and cultural awareness, with the ability to operate effectively in a global, federated organisation.</w:t>
      </w:r>
    </w:p>
    <w:p>
      <w:pPr>
        <w:pStyle w:val="ListBullet"/>
      </w:pPr>
      <w:r>
        <w:t>Behaviours aligned to being collaborative, courageous, trustworthy and progressive.</w:t>
      </w:r>
    </w:p>
    <w:p>
      <w:pPr>
        <w:pStyle w:val="Heading2"/>
      </w:pPr>
      <w:r>
        <w:t>Desirable</w:t>
      </w:r>
    </w:p>
    <w:p>
      <w:pPr>
        <w:pStyle w:val="ListBullet"/>
      </w:pPr>
      <w:r>
        <w:t>BRMP, ITIL, COBIT or comparable professional accreditation.</w:t>
      </w:r>
    </w:p>
    <w:p>
      <w:pPr>
        <w:pStyle w:val="ListBullet"/>
      </w:pPr>
      <w:r>
        <w:t>Experience in an internal shared-services or federated operating model.</w:t>
      </w:r>
    </w:p>
    <w:p>
      <w:pPr>
        <w:pStyle w:val="ListBullet"/>
      </w:pPr>
      <w:r>
        <w:t>Experience working across diverse industries, geographies or business models.</w:t>
      </w:r>
    </w:p>
    <w:p>
      <w:pPr>
        <w:pStyle w:val="ListBullet"/>
      </w:pPr>
      <w:r>
        <w:t>Experience of digital transformation, major service change, business integration or onboarding.</w:t>
      </w:r>
    </w:p>
    <w:p>
      <w:pPr>
        <w:pStyle w:val="ListBullet"/>
      </w:pPr>
      <w:r>
        <w:t>Experience working with strategic suppliers or within a supplier-enabled service environment.</w:t>
      </w:r>
    </w:p>
    <w:sectPr w:rsidRPr="0006063C" w:rsidR="00FC693F" w:rsidSect="00034616">
      <w:footerReference w:type="default" r:id="rId9"/>
      <w:pgSz w:w="12240" w:h="15840" w:orient="portrait"/>
      <w:pgMar w:top="648" w:right="1008" w:bottom="64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xmlns:wp14="http://schemas.microsoft.com/office/word/2010/wordml" w14:paraId="57D4A579" wp14:textId="77777777">
    <w:pPr>
      <w:pStyle w:val="Footer"/>
      <w:jc w:val="center"/>
    </w:pPr>
    <w:r>
      <w:rPr>
        <w:color w:val="787878"/>
        <w:sz w:val="16"/>
      </w:rPr>
      <w:t>Group Services | Technology Business Partner</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val="bestFit"/>
  <w:proofState w:spelling="clean" w:grammar="dirty"/>
  <w:trackRevisions w:val="false"/>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4434BB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15:docId w15:val="{3FE27499-4398-47E7-A29C-3F3FD0804FF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spacing w:after="4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Aptos" w:hAnsi="Aptos" w:asciiTheme="majorHAnsi" w:hAnsiTheme="majorHAnsi" w:eastAsiaTheme="majorEastAsia" w:cstheme="majorBidi"/>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ptos" w:hAnsi="Aptos" w:asciiTheme="majorHAnsi" w:hAnsiTheme="majorHAnsi" w:eastAsiaTheme="majorEastAsia" w:cstheme="majorBidi"/>
      <w:b/>
      <w:bCs/>
      <w:color w:val="17365D"/>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before="160" w:after="80" w:line="240" w:lineRule="auto"/>
      <w:contextualSpacing/>
    </w:pPr>
    <w:rPr>
      <w:rFonts w:ascii="Aptos Display" w:hAnsi="Aptos Display" w:asciiTheme="majorHAnsi" w:hAnsiTheme="majorHAnsi" w:eastAsiaTheme="majorEastAsia" w:cstheme="majorBidi"/>
      <w:b/>
      <w:color w:val="17365D"/>
      <w:spacing w:val="5"/>
      <w:kern w:val="28"/>
      <w:sz w:val="40"/>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Ind w:w="0" w:type="dxa"/>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Technology Business Partner Role Description</dc:title>
  <dc:subject>Group Services role description</dc:subject>
  <dc:creator>Mark Branwhite</dc:creator>
  <keywords/>
  <dc:description>generated by python-docx</dc:description>
  <lastModifiedBy>Mark Branwhite</lastModifiedBy>
  <revision>2</revision>
  <dcterms:created xsi:type="dcterms:W3CDTF">2026-09-24T13:59:21.7400474Z</dcterms:created>
  <dcterms:modified xsi:type="dcterms:W3CDTF">2026-09-24T13:59:21.7400474Z</dcterms:modified>
  <category/>
</coreProperties>
</file>